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黑体" w:eastAsia="黑体"/>
          <w:sz w:val="32"/>
          <w:szCs w:val="32"/>
        </w:rPr>
      </w:pPr>
    </w:p>
    <w:p>
      <w:pPr>
        <w:rPr>
          <w:rFonts w:ascii="黑体" w:eastAsia="黑体"/>
          <w:sz w:val="32"/>
          <w:szCs w:val="32"/>
        </w:rPr>
      </w:pPr>
    </w:p>
    <w:p>
      <w:pPr>
        <w:spacing w:after="156" w:afterLines="50"/>
        <w:rPr>
          <w:rFonts w:ascii="黑体" w:eastAsia="黑体"/>
          <w:sz w:val="32"/>
          <w:szCs w:val="32"/>
        </w:rPr>
      </w:pPr>
    </w:p>
    <w:p>
      <w:pPr>
        <w:jc w:val="center"/>
        <w:rPr>
          <w:rFonts w:ascii="方正小标宋简体" w:eastAsia="方正小标宋简体"/>
          <w:color w:val="FF0000"/>
          <w:sz w:val="84"/>
          <w:szCs w:val="84"/>
        </w:rPr>
      </w:pPr>
      <w:r>
        <w:rPr>
          <w:rFonts w:ascii="方正小标宋简体" w:eastAsia="方正小标宋简体"/>
          <w:color w:val="FF0000"/>
          <w:sz w:val="84"/>
          <w:szCs w:val="84"/>
        </w:rPr>
        <w:pict>
          <v:shape id="_x0000_i1025" o:spt="136" type="#_x0000_t136" style="height:69.75pt;width:413.3pt;" fillcolor="#FF0000" filled="t" stroked="t" coordsize="21600,21600">
            <v:path/>
            <v:fill on="t" focussize="0,0"/>
            <v:stroke color="#FF0000"/>
            <v:imagedata o:title=""/>
            <o:lock v:ext="edit"/>
            <v:textpath on="t" fitshape="t" fitpath="t" trim="t" xscale="f" string="中共邛崃市人民检察院党组" style="font-family:方正小标宋简体;font-size:36pt;v-text-align:center;"/>
            <w10:wrap type="none"/>
            <w10:anchorlock/>
          </v:shape>
        </w:pict>
      </w:r>
    </w:p>
    <w:p>
      <w:pPr>
        <w:jc w:val="center"/>
        <w:rPr>
          <w:rFonts w:ascii="方正小标宋简体" w:eastAsia="方正小标宋简体"/>
          <w:color w:val="FF0000"/>
          <w:szCs w:val="21"/>
        </w:rPr>
      </w:pPr>
    </w:p>
    <w:p>
      <w:pPr>
        <w:jc w:val="center"/>
        <w:rPr>
          <w:szCs w:val="21"/>
        </w:rPr>
      </w:pPr>
    </w:p>
    <w:p>
      <w:pPr>
        <w:tabs>
          <w:tab w:val="left" w:pos="7513"/>
        </w:tabs>
        <w:ind w:left="0" w:leftChars="0" w:firstLine="0" w:firstLineChars="0"/>
        <w:jc w:val="center"/>
        <w:rPr>
          <w:rFonts w:ascii="仿宋_GB2312" w:eastAsia="仿宋_GB2312"/>
          <w:sz w:val="32"/>
          <w:szCs w:val="32"/>
        </w:rPr>
      </w:pPr>
      <w:r>
        <mc:AlternateContent>
          <mc:Choice Requires="wps">
            <w:drawing>
              <wp:anchor distT="0" distB="0" distL="114300" distR="114300" simplePos="0" relativeHeight="251658240" behindDoc="1" locked="0" layoutInCell="1" allowOverlap="1">
                <wp:simplePos x="0" y="0"/>
                <wp:positionH relativeFrom="column">
                  <wp:posOffset>2466340</wp:posOffset>
                </wp:positionH>
                <wp:positionV relativeFrom="paragraph">
                  <wp:posOffset>55880</wp:posOffset>
                </wp:positionV>
                <wp:extent cx="526415" cy="695325"/>
                <wp:effectExtent l="5080" t="5080" r="20955" b="4445"/>
                <wp:wrapNone/>
                <wp:docPr id="1" name="文本框 2"/>
                <wp:cNvGraphicFramePr/>
                <a:graphic xmlns:a="http://schemas.openxmlformats.org/drawingml/2006/main">
                  <a:graphicData uri="http://schemas.microsoft.com/office/word/2010/wordprocessingShape">
                    <wps:wsp>
                      <wps:cNvSpPr txBox="1"/>
                      <wps:spPr>
                        <a:xfrm>
                          <a:off x="0" y="0"/>
                          <a:ext cx="526415" cy="69532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60"/>
                                <w:szCs w:val="60"/>
                              </w:rPr>
                            </w:pPr>
                            <w:r>
                              <w:rPr>
                                <w:rFonts w:ascii="宋体" w:hAnsi="宋体"/>
                                <w:b/>
                                <w:color w:val="FF0000"/>
                                <w:sz w:val="60"/>
                                <w:szCs w:val="60"/>
                              </w:rPr>
                              <w:sym w:font="Wingdings" w:char="F0AB"/>
                            </w:r>
                          </w:p>
                        </w:txbxContent>
                      </wps:txbx>
                      <wps:bodyPr wrap="square"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194.2pt;margin-top:4.4pt;height:54.75pt;width:41.45pt;z-index:-251658240;mso-width-relative:page;mso-height-relative:margin;mso-height-percent:200;" fillcolor="#FFFFFF" filled="t" stroked="t" coordsize="21600,21600" o:gfxdata="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6TtUnZAAAACQEAAA8AAAAAAAAAAQAgAAAAIgAAAGRycy9kb3du&#10;cmV2LnhtbFBLAQIUABQAAAAIAIdO4kAvI9AP/gEAAA8EAAAOAAAAAAAAAAEAIAAAACgBAABkcnMv&#10;ZTJvRG9jLnhtbFBLBQYAAAAABgAGAFkBAACYBQAAAAA=&#10;">
                <v:fill on="t" focussize="0,0"/>
                <v:stroke color="#FFFFFF" joinstyle="miter"/>
                <v:imagedata o:title=""/>
                <o:lock v:ext="edit" aspectratio="f"/>
                <v:textbox style="mso-fit-shape-to-text:t;">
                  <w:txbxContent>
                    <w:p>
                      <w:pPr>
                        <w:rPr>
                          <w:sz w:val="60"/>
                          <w:szCs w:val="60"/>
                        </w:rPr>
                      </w:pPr>
                      <w:r>
                        <w:rPr>
                          <w:rFonts w:ascii="宋体" w:hAnsi="宋体"/>
                          <w:b/>
                          <w:color w:val="FF0000"/>
                          <w:sz w:val="60"/>
                          <w:szCs w:val="60"/>
                        </w:rPr>
                        <w:sym w:font="Wingdings" w:char="F0AB"/>
                      </w:r>
                    </w:p>
                  </w:txbxContent>
                </v:textbox>
              </v:shape>
            </w:pict>
          </mc:Fallback>
        </mc:AlternateContent>
      </w:r>
      <w:r>
        <w:rPr>
          <w:rFonts w:hint="eastAsia" w:ascii="仿宋_GB2312" w:eastAsia="仿宋_GB2312"/>
          <w:sz w:val="32"/>
          <w:szCs w:val="32"/>
        </w:rPr>
        <w:t>邛检组〔2019〕4</w:t>
      </w:r>
      <w:r>
        <w:rPr>
          <w:rFonts w:hint="eastAsia" w:ascii="仿宋_GB2312" w:eastAsia="仿宋_GB2312"/>
          <w:sz w:val="32"/>
          <w:szCs w:val="32"/>
          <w:lang w:val="en-US" w:eastAsia="zh-CN"/>
        </w:rPr>
        <w:t>3</w:t>
      </w:r>
      <w:r>
        <w:rPr>
          <w:rFonts w:hint="eastAsia" w:ascii="仿宋_GB2312" w:eastAsia="仿宋_GB2312"/>
          <w:sz w:val="32"/>
          <w:szCs w:val="32"/>
        </w:rPr>
        <w:t>号</w:t>
      </w:r>
    </w:p>
    <w:p>
      <w:pPr>
        <w:rPr>
          <w:szCs w:val="21"/>
        </w:rPr>
      </w:pPr>
      <w:r>
        <w:rPr>
          <w:rFonts w:hint="eastAsia"/>
          <w:szCs w:val="21"/>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0</wp:posOffset>
                </wp:positionV>
                <wp:extent cx="2435860" cy="0"/>
                <wp:effectExtent l="0" t="13970" r="2540" b="24130"/>
                <wp:wrapNone/>
                <wp:docPr id="3" name="直线 2"/>
                <wp:cNvGraphicFramePr/>
                <a:graphic xmlns:a="http://schemas.openxmlformats.org/drawingml/2006/main">
                  <a:graphicData uri="http://schemas.microsoft.com/office/word/2010/wordprocessingShape">
                    <wps:wsp>
                      <wps:cNvCnPr/>
                      <wps:spPr>
                        <a:xfrm>
                          <a:off x="0" y="0"/>
                          <a:ext cx="243586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2" o:spid="_x0000_s1026" o:spt="20" style="position:absolute;left:0pt;margin-left:3.9pt;margin-top:0pt;height:0pt;width:191.8pt;z-index:251660288;mso-width-relative:page;mso-height-relative:page;" filled="f" stroked="t" coordsize="21600,21600" o:gfxdata="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A7iV00gAAAAMBAAAPAAAAAAAAAAEAIAAAACIAAABkcnMvZG93bnJldi54&#10;bWxQSwECFAAUAAAACACHTuJAT6kHLccBAACCAwAADgAAAAAAAAABACAAAAAhAQAAZHJzL2Uyb0Rv&#10;Yy54bWxQSwUGAAAAAAYABgBZAQAAWgUAAAAA&#10;">
                <v:fill on="f" focussize="0,0"/>
                <v:stroke weight="2.25pt" color="#FF0000" joinstyle="round"/>
                <v:imagedata o:title=""/>
                <o:lock v:ext="edit" aspectratio="f"/>
              </v:line>
            </w:pict>
          </mc:Fallback>
        </mc:AlternateContent>
      </w:r>
      <w:r>
        <w:rPr>
          <w:rFonts w:hint="eastAsia"/>
          <w:szCs w:val="21"/>
        </w:rPr>
        <mc:AlternateContent>
          <mc:Choice Requires="wps">
            <w:drawing>
              <wp:anchor distT="0" distB="0" distL="114300" distR="114300" simplePos="0" relativeHeight="251659264" behindDoc="0" locked="0" layoutInCell="1" allowOverlap="1">
                <wp:simplePos x="0" y="0"/>
                <wp:positionH relativeFrom="column">
                  <wp:posOffset>2992755</wp:posOffset>
                </wp:positionH>
                <wp:positionV relativeFrom="paragraph">
                  <wp:posOffset>0</wp:posOffset>
                </wp:positionV>
                <wp:extent cx="2435860" cy="0"/>
                <wp:effectExtent l="0" t="13970" r="2540" b="24130"/>
                <wp:wrapNone/>
                <wp:docPr id="2" name="直线 2"/>
                <wp:cNvGraphicFramePr/>
                <a:graphic xmlns:a="http://schemas.openxmlformats.org/drawingml/2006/main">
                  <a:graphicData uri="http://schemas.microsoft.com/office/word/2010/wordprocessingShape">
                    <wps:wsp>
                      <wps:cNvCnPr/>
                      <wps:spPr>
                        <a:xfrm>
                          <a:off x="0" y="0"/>
                          <a:ext cx="243586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2" o:spid="_x0000_s1026" o:spt="20" style="position:absolute;left:0pt;margin-left:235.65pt;margin-top:0pt;height:0pt;width:191.8pt;z-index:251659264;mso-width-relative:page;mso-height-relative:page;" filled="f" stroked="t" coordsize="21600,21600" o:gfxdata="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dlD5A1AAAAAUBAAAPAAAAAAAAAAEAIAAAACIAAABkcnMvZG93bnJl&#10;di54bWxQSwECFAAUAAAACACHTuJAunqbnMgBAACCAwAADgAAAAAAAAABACAAAAAjAQAAZHJzL2Uy&#10;b0RvYy54bWxQSwUGAAAAAAYABgBZAQAAXQUAAAAA&#10;">
                <v:fill on="f" focussize="0,0"/>
                <v:stroke weight="2.25pt" color="#FF0000" joinstyle="round"/>
                <v:imagedata o:title=""/>
                <o:lock v:ext="edit" aspectratio="f"/>
              </v:line>
            </w:pict>
          </mc:Fallback>
        </mc:AlternateContent>
      </w:r>
    </w:p>
    <w:p>
      <w:pPr>
        <w:snapToGrid w:val="0"/>
        <w:spacing w:line="720" w:lineRule="exact"/>
        <w:rPr>
          <w:sz w:val="32"/>
          <w:szCs w:val="32"/>
        </w:rPr>
      </w:pPr>
    </w:p>
    <w:p>
      <w:pPr>
        <w:spacing w:line="700" w:lineRule="exact"/>
        <w:jc w:val="center"/>
        <w:rPr>
          <w:rFonts w:ascii="方正小标宋简体" w:hAnsi="方正小标宋_GBK" w:eastAsia="方正小标宋简体"/>
          <w:sz w:val="44"/>
          <w:szCs w:val="44"/>
        </w:rPr>
      </w:pPr>
      <w:r>
        <w:rPr>
          <w:rFonts w:hint="eastAsia" w:ascii="方正小标宋简体" w:hAnsi="方正小标宋_GBK" w:eastAsia="方正小标宋简体"/>
          <w:sz w:val="44"/>
          <w:szCs w:val="44"/>
        </w:rPr>
        <w:t>中共邛崃市人民检察院党组关于</w:t>
      </w:r>
    </w:p>
    <w:p>
      <w:pPr>
        <w:spacing w:line="700" w:lineRule="exact"/>
        <w:jc w:val="center"/>
        <w:rPr>
          <w:rFonts w:ascii="方正小标宋简体" w:hAnsi="方正小标宋_GBK" w:eastAsia="方正小标宋简体"/>
          <w:sz w:val="44"/>
          <w:szCs w:val="44"/>
        </w:rPr>
      </w:pPr>
      <w:r>
        <w:rPr>
          <w:rFonts w:hint="eastAsia" w:ascii="方正小标宋简体" w:hAnsi="方正小标宋_GBK" w:eastAsia="方正小标宋简体"/>
          <w:sz w:val="44"/>
          <w:szCs w:val="44"/>
        </w:rPr>
        <w:t>印发《邛崃市人民检察院</w:t>
      </w:r>
      <w:r>
        <w:rPr>
          <w:rFonts w:hint="eastAsia" w:ascii="方正小标宋简体" w:hAnsi="方正小标宋_GBK" w:eastAsia="方正小标宋简体"/>
          <w:sz w:val="44"/>
          <w:szCs w:val="44"/>
          <w:lang w:eastAsia="zh-CN"/>
        </w:rPr>
        <w:t>关于</w:t>
      </w:r>
      <w:r>
        <w:rPr>
          <w:rFonts w:hint="eastAsia" w:ascii="方正小标宋简体" w:hAnsi="方正小标宋_GBK" w:eastAsia="方正小标宋简体"/>
          <w:sz w:val="44"/>
          <w:szCs w:val="44"/>
        </w:rPr>
        <w:t>内设机构改革后职能组织设置方案》的通知</w:t>
      </w:r>
    </w:p>
    <w:p>
      <w:pPr>
        <w:spacing w:line="360" w:lineRule="exact"/>
        <w:jc w:val="center"/>
        <w:rPr>
          <w:rFonts w:ascii="方正小标宋简体" w:eastAsia="方正小标宋简体"/>
          <w:b/>
          <w:bCs/>
          <w:sz w:val="32"/>
          <w:szCs w:val="32"/>
        </w:rPr>
      </w:pPr>
    </w:p>
    <w:p>
      <w:pPr>
        <w:spacing w:line="579" w:lineRule="exact"/>
        <w:rPr>
          <w:rFonts w:ascii="方正仿宋简体" w:eastAsia="方正仿宋简体"/>
          <w:sz w:val="32"/>
          <w:szCs w:val="32"/>
        </w:rPr>
      </w:pPr>
      <w:r>
        <w:rPr>
          <w:rFonts w:hint="eastAsia" w:ascii="方正仿宋简体" w:eastAsia="方正仿宋简体"/>
          <w:sz w:val="32"/>
          <w:szCs w:val="32"/>
        </w:rPr>
        <w:t>各部门：</w:t>
      </w:r>
    </w:p>
    <w:p>
      <w:pPr>
        <w:autoSpaceDE w:val="0"/>
        <w:autoSpaceDN w:val="0"/>
        <w:adjustRightInd w:val="0"/>
        <w:spacing w:line="579" w:lineRule="exact"/>
        <w:ind w:firstLine="640" w:firstLineChars="200"/>
        <w:jc w:val="left"/>
        <w:rPr>
          <w:rFonts w:ascii="方正仿宋简体" w:eastAsia="方正仿宋简体"/>
          <w:sz w:val="32"/>
          <w:szCs w:val="32"/>
        </w:rPr>
      </w:pPr>
      <w:r>
        <w:rPr>
          <w:rFonts w:hint="eastAsia" w:ascii="方正仿宋简体" w:eastAsia="方正仿宋简体"/>
          <w:sz w:val="32"/>
          <w:szCs w:val="32"/>
        </w:rPr>
        <w:t>《邛崃市人民检察院</w:t>
      </w:r>
      <w:r>
        <w:rPr>
          <w:rFonts w:hint="eastAsia" w:ascii="方正仿宋简体" w:eastAsia="方正仿宋简体"/>
          <w:sz w:val="32"/>
          <w:szCs w:val="32"/>
          <w:lang w:eastAsia="zh-CN"/>
        </w:rPr>
        <w:t>关于</w:t>
      </w:r>
      <w:r>
        <w:rPr>
          <w:rFonts w:hint="eastAsia" w:ascii="方正仿宋简体" w:eastAsia="方正仿宋简体"/>
          <w:sz w:val="32"/>
          <w:szCs w:val="32"/>
        </w:rPr>
        <w:t xml:space="preserve">内设机构改革后职能组织设置方案》经院党组会议审议通过，现印发你们，请认真抓好贯彻落实。 </w:t>
      </w:r>
    </w:p>
    <w:p>
      <w:pPr>
        <w:rPr>
          <w:rFonts w:hint="eastAsia" w:ascii="方正仿宋简体" w:eastAsia="方正仿宋简体"/>
          <w:kern w:val="0"/>
          <w:sz w:val="32"/>
          <w:szCs w:val="32"/>
        </w:rPr>
      </w:pPr>
    </w:p>
    <w:p>
      <w:pPr>
        <w:autoSpaceDE w:val="0"/>
        <w:autoSpaceDN w:val="0"/>
        <w:adjustRightInd w:val="0"/>
        <w:spacing w:line="579" w:lineRule="exact"/>
        <w:ind w:left="0" w:leftChars="0" w:right="-87" w:firstLine="3779" w:firstLineChars="1181"/>
        <w:rPr>
          <w:rFonts w:eastAsia="仿宋_GB2312"/>
          <w:kern w:val="0"/>
          <w:sz w:val="32"/>
          <w:szCs w:val="32"/>
        </w:rPr>
      </w:pPr>
      <w:r>
        <w:rPr>
          <w:rFonts w:hint="eastAsia" w:ascii="方正仿宋简体" w:eastAsia="方正仿宋简体"/>
          <w:sz w:val="32"/>
          <w:szCs w:val="32"/>
        </w:rPr>
        <w:t>中共邛崃市人民检察院党组</w:t>
      </w:r>
    </w:p>
    <w:p>
      <w:pPr>
        <w:rPr>
          <w:rFonts w:hint="eastAsia" w:ascii="方正仿宋简体" w:eastAsia="方正仿宋简体"/>
          <w:kern w:val="0"/>
          <w:sz w:val="32"/>
          <w:szCs w:val="32"/>
        </w:rPr>
      </w:pPr>
      <w:r>
        <w:rPr>
          <w:rFonts w:hint="eastAsia" w:eastAsia="仿宋_GB2312"/>
          <w:kern w:val="0"/>
          <w:sz w:val="32"/>
          <w:szCs w:val="32"/>
        </w:rPr>
        <w:t xml:space="preserve">                           </w:t>
      </w:r>
      <w:r>
        <w:rPr>
          <w:rFonts w:hint="eastAsia" w:ascii="方正仿宋简体" w:eastAsia="方正仿宋简体"/>
          <w:kern w:val="0"/>
          <w:sz w:val="32"/>
          <w:szCs w:val="32"/>
        </w:rPr>
        <w:t>2019年11月29日</w:t>
      </w:r>
    </w:p>
    <w:p>
      <w:pPr>
        <w:rPr>
          <w:rFonts w:hint="eastAsia" w:ascii="方正仿宋简体" w:eastAsia="方正仿宋简体"/>
          <w:kern w:val="0"/>
          <w:sz w:val="32"/>
          <w:szCs w:val="32"/>
        </w:rPr>
      </w:pPr>
      <w:r>
        <w:rPr>
          <w:rFonts w:hint="eastAsia" w:ascii="方正仿宋简体" w:eastAsia="方正仿宋简体"/>
          <w:kern w:val="0"/>
          <w:sz w:val="32"/>
          <w:szCs w:val="32"/>
        </w:rPr>
        <w:br w:type="page"/>
      </w:r>
    </w:p>
    <w:p>
      <w:pPr>
        <w:rPr>
          <w:rFonts w:hint="eastAsia" w:ascii="方正仿宋简体" w:eastAsia="方正仿宋简体"/>
          <w:kern w:val="0"/>
          <w:sz w:val="32"/>
          <w:szCs w:val="32"/>
        </w:rPr>
      </w:pPr>
    </w:p>
    <w:p>
      <w:pPr>
        <w:jc w:val="center"/>
        <w:rPr>
          <w:rFonts w:hint="eastAsia" w:eastAsia="方正小标宋简体"/>
          <w:kern w:val="0"/>
          <w:sz w:val="44"/>
          <w:szCs w:val="44"/>
        </w:rPr>
      </w:pPr>
      <w:r>
        <w:rPr>
          <w:rFonts w:eastAsia="方正小标宋简体"/>
          <w:kern w:val="0"/>
          <w:sz w:val="44"/>
          <w:szCs w:val="44"/>
        </w:rPr>
        <w:t>邛崃市人民检察院</w:t>
      </w:r>
      <w:r>
        <w:rPr>
          <w:rFonts w:hint="eastAsia" w:eastAsia="方正小标宋简体"/>
          <w:kern w:val="0"/>
          <w:sz w:val="44"/>
          <w:szCs w:val="44"/>
          <w:lang w:eastAsia="zh-CN"/>
        </w:rPr>
        <w:t>关于</w:t>
      </w:r>
    </w:p>
    <w:p>
      <w:pPr>
        <w:autoSpaceDE w:val="0"/>
        <w:autoSpaceDN w:val="0"/>
        <w:adjustRightInd w:val="0"/>
        <w:spacing w:line="700" w:lineRule="exact"/>
        <w:jc w:val="center"/>
        <w:rPr>
          <w:rFonts w:eastAsia="方正小标宋简体"/>
          <w:kern w:val="0"/>
          <w:sz w:val="44"/>
          <w:szCs w:val="44"/>
        </w:rPr>
      </w:pPr>
      <w:r>
        <w:rPr>
          <w:rFonts w:hint="eastAsia" w:eastAsia="方正小标宋简体"/>
          <w:kern w:val="0"/>
          <w:sz w:val="44"/>
          <w:szCs w:val="44"/>
        </w:rPr>
        <w:t>内设机构改革后职能组织设置方案</w:t>
      </w:r>
    </w:p>
    <w:p>
      <w:pPr>
        <w:autoSpaceDE w:val="0"/>
        <w:autoSpaceDN w:val="0"/>
        <w:adjustRightInd w:val="0"/>
        <w:spacing w:line="700" w:lineRule="exact"/>
        <w:ind w:firstLine="880" w:firstLineChars="200"/>
        <w:jc w:val="center"/>
        <w:rPr>
          <w:rFonts w:eastAsia="方正小标宋简体"/>
          <w:kern w:val="0"/>
          <w:sz w:val="44"/>
          <w:szCs w:val="44"/>
        </w:rPr>
      </w:pPr>
    </w:p>
    <w:p>
      <w:pPr>
        <w:spacing w:line="579" w:lineRule="exact"/>
        <w:ind w:firstLine="640" w:firstLineChars="200"/>
        <w:rPr>
          <w:rFonts w:ascii="方正仿宋简体" w:eastAsia="方正仿宋简体"/>
          <w:sz w:val="32"/>
          <w:szCs w:val="32"/>
        </w:rPr>
      </w:pPr>
      <w:r>
        <w:rPr>
          <w:rFonts w:hint="eastAsia" w:ascii="方正仿宋简体" w:eastAsia="方正仿宋简体"/>
          <w:sz w:val="32"/>
          <w:szCs w:val="32"/>
        </w:rPr>
        <w:t>根据最高人民检察院《关于推进省以下人民检察院内设机构改革工作的通知》精神和四川省人民检察院《四川省市县两级人民检察院内设机构改革实施方案》的部署要求，邛崃市检察院内设机构设置采取“3﹢2”模式，检察业务机构3个，综合行政部门2个，机构名称为第一检察部（未成年人刑事检察</w:t>
      </w:r>
      <w:r>
        <w:rPr>
          <w:rFonts w:hint="eastAsia" w:ascii="方正仿宋简体" w:eastAsia="方正仿宋简体"/>
          <w:sz w:val="32"/>
          <w:szCs w:val="32"/>
          <w:lang w:eastAsia="zh-CN"/>
        </w:rPr>
        <w:t>部</w:t>
      </w:r>
      <w:r>
        <w:rPr>
          <w:rFonts w:hint="eastAsia" w:ascii="方正仿宋简体" w:eastAsia="方正仿宋简体"/>
          <w:sz w:val="32"/>
          <w:szCs w:val="32"/>
        </w:rPr>
        <w:t>）、第二检察部、第三检察部、办公室、政治部（司法警察大队）。邛崃市人民检察院党的工作机构、群团机构按照有关规定设置。结合本院实际，设置以下办案组织和工作组，履行相应职责。</w:t>
      </w:r>
    </w:p>
    <w:p>
      <w:pPr>
        <w:spacing w:line="579" w:lineRule="exact"/>
        <w:ind w:firstLine="640" w:firstLineChars="200"/>
        <w:rPr>
          <w:rFonts w:ascii="黑体" w:hAnsi="黑体" w:eastAsia="黑体" w:cs="黑体"/>
          <w:b/>
          <w:color w:val="000000"/>
          <w:sz w:val="32"/>
          <w:szCs w:val="32"/>
        </w:rPr>
      </w:pPr>
      <w:r>
        <w:rPr>
          <w:rFonts w:hint="eastAsia" w:ascii="黑体" w:hAnsi="黑体" w:eastAsia="黑体" w:cs="黑体"/>
          <w:color w:val="000000"/>
          <w:sz w:val="32"/>
          <w:szCs w:val="32"/>
        </w:rPr>
        <w:t>一、办公室</w:t>
      </w:r>
      <w:r>
        <w:rPr>
          <w:rFonts w:hint="eastAsia" w:ascii="黑体" w:hAnsi="黑体" w:eastAsia="黑体" w:cs="黑体"/>
          <w:b/>
          <w:color w:val="000000"/>
          <w:sz w:val="32"/>
          <w:szCs w:val="32"/>
        </w:rPr>
        <w:t>（</w:t>
      </w:r>
      <w:r>
        <w:rPr>
          <w:rFonts w:hint="eastAsia" w:ascii="黑体" w:hAnsi="黑体" w:eastAsia="黑体" w:cs="黑体"/>
          <w:color w:val="000000"/>
          <w:sz w:val="32"/>
          <w:szCs w:val="32"/>
        </w:rPr>
        <w:t>原办公室、计划财务装备科</w:t>
      </w:r>
      <w:r>
        <w:rPr>
          <w:rFonts w:hint="eastAsia" w:ascii="黑体" w:hAnsi="黑体" w:eastAsia="黑体" w:cs="黑体"/>
          <w:b/>
          <w:color w:val="000000"/>
          <w:sz w:val="32"/>
          <w:szCs w:val="32"/>
        </w:rPr>
        <w:t>）</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综合保障组（对应市院办公室）：</w:t>
      </w:r>
      <w:r>
        <w:rPr>
          <w:rFonts w:hint="eastAsia" w:ascii="方正仿宋简体" w:eastAsia="方正仿宋简体"/>
          <w:sz w:val="32"/>
          <w:szCs w:val="32"/>
        </w:rPr>
        <w:t>负责机关文电、会务、机要、档案、保密等工作。协助院领导处理检察政务，组织协调院重要工作部署、重大决策的贯彻实施。承担综合性绩效考核相关工作。起草审核相关文件文稿，处理检察信息。负责领导同志批办事项督查工作。负责人大代表、政协委员联络工作。</w:t>
      </w:r>
      <w:r>
        <w:rPr>
          <w:rFonts w:hint="eastAsia" w:ascii="方正仿宋简体" w:eastAsia="方正仿宋简体"/>
          <w:sz w:val="32"/>
          <w:szCs w:val="32"/>
          <w:lang w:val="zh-CN"/>
        </w:rPr>
        <w:t>组织人民监督员工作。</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计划财务装备组（对应市院计划财务装备部）：</w:t>
      </w:r>
      <w:r>
        <w:rPr>
          <w:rFonts w:hint="eastAsia" w:ascii="方正仿宋简体" w:eastAsia="方正仿宋简体"/>
          <w:sz w:val="32"/>
          <w:szCs w:val="32"/>
        </w:rPr>
        <w:t>负责制定实施财务和装备规划，编制邛崃市人民检察院支出规划和部门预决算。负责邛崃市人民检察院本级财务管理、国有资产管理、政府采购等工作。</w:t>
      </w:r>
    </w:p>
    <w:p>
      <w:pPr>
        <w:spacing w:line="579"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二、第一检察部（未成年人检察部）（原公诉科、侦查监督科、未成年人刑事检察科）</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第一办案组（对应市院第一检察部）：</w:t>
      </w:r>
      <w:r>
        <w:rPr>
          <w:rFonts w:hint="eastAsia" w:ascii="方正仿宋简体" w:eastAsia="方正仿宋简体"/>
          <w:sz w:val="32"/>
          <w:szCs w:val="32"/>
        </w:rPr>
        <w:t>负责对法律规定由邛崃市人民检察院办理的除第二、三、四办案组承办案件以外的刑事案件的审查逮捕、审查起诉、出庭支持公诉、抗诉，开展相关立案监督、侦查监督、审判监督以及相关案件的补充侦查。办理邛崃市人民检察院管辖的相关刑事申诉案件。</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第二办案组（对应市院第二检察部）：</w:t>
      </w:r>
      <w:r>
        <w:rPr>
          <w:rFonts w:hint="eastAsia" w:ascii="方正仿宋简体" w:eastAsia="方正仿宋简体"/>
          <w:sz w:val="32"/>
          <w:szCs w:val="32"/>
        </w:rPr>
        <w:t>负责对法律规定由邛崃市人民检察院办理的危害公共安全犯罪，故意杀人、抢劫、毒品犯罪等刑事案件的审查逮捕、审查起诉、出庭支持公诉、抗诉，开展相关立案监督、侦查监督、审判监督以及相关案件的补充侦查。办理邛崃市人民检察院管辖的相关刑事申诉案件。</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第三办案组（对应市院第三检察部、第四检察部）：</w:t>
      </w:r>
      <w:r>
        <w:rPr>
          <w:rFonts w:hint="eastAsia" w:ascii="方正仿宋简体" w:eastAsia="方正仿宋简体"/>
          <w:sz w:val="32"/>
          <w:szCs w:val="32"/>
        </w:rPr>
        <w:t>负责对法律规定由邛崃市人民检察院办理的邛崃市监察委员会移送职务犯罪案件、破坏社会主义市场经济秩序的审查逮捕、审查起诉、出庭支持公诉、抗诉，开展相关立案监督、侦查监督、审判监督以及相关案件的补充侦查。办理邛崃市人民检察院管辖的相关刑事申诉案件。</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第四办案组（对应市院第九检察部）：</w:t>
      </w:r>
      <w:r>
        <w:rPr>
          <w:rFonts w:hint="eastAsia" w:ascii="方正仿宋简体" w:eastAsia="方正仿宋简体"/>
          <w:sz w:val="32"/>
          <w:szCs w:val="32"/>
        </w:rPr>
        <w:t>负责对法律规定由邛崃市人民检察院办理的未成年人犯罪和侵害未成年人犯罪案件的审查逮捕、审查起诉、出庭支持公诉、抗诉，开展相关立案监督、侦查监督、审判监督以及相关案件的补充侦查。开展未成年人司法保护和预防未成年人犯罪工作。</w:t>
      </w:r>
    </w:p>
    <w:p>
      <w:pPr>
        <w:spacing w:line="579"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三、第二检察部（原民事行政检察科）</w:t>
      </w:r>
    </w:p>
    <w:p>
      <w:pPr>
        <w:spacing w:line="579" w:lineRule="exact"/>
        <w:ind w:firstLine="640" w:firstLineChars="200"/>
        <w:rPr>
          <w:rFonts w:ascii="方正楷体简体" w:eastAsia="方正楷体简体"/>
          <w:sz w:val="32"/>
          <w:szCs w:val="32"/>
        </w:rPr>
      </w:pPr>
      <w:r>
        <w:rPr>
          <w:rFonts w:hint="eastAsia" w:ascii="方正楷体简体" w:eastAsia="方正楷体简体"/>
          <w:sz w:val="32"/>
          <w:szCs w:val="32"/>
        </w:rPr>
        <w:t>对应市院第六、第七、第八检察部</w:t>
      </w:r>
    </w:p>
    <w:p>
      <w:pPr>
        <w:spacing w:line="579" w:lineRule="exact"/>
        <w:ind w:firstLine="640" w:firstLineChars="200"/>
        <w:rPr>
          <w:rFonts w:ascii="方正仿宋简体" w:eastAsia="方正仿宋简体"/>
          <w:sz w:val="32"/>
          <w:szCs w:val="32"/>
        </w:rPr>
      </w:pPr>
      <w:r>
        <w:rPr>
          <w:rFonts w:hint="eastAsia" w:ascii="方正仿宋简体" w:eastAsia="方正仿宋简体"/>
          <w:sz w:val="32"/>
          <w:szCs w:val="32"/>
        </w:rPr>
        <w:t>负责民事、行政、公益诉讼检察工作</w:t>
      </w:r>
    </w:p>
    <w:p>
      <w:pPr>
        <w:spacing w:line="579"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四、第三检察部（原刑事执行检察局、控告申诉检察科、法律政策研究室、案件管理办公室、检察技术科）</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刑事执行办案组（对应市院第五检察部）：</w:t>
      </w:r>
      <w:r>
        <w:rPr>
          <w:rFonts w:hint="eastAsia" w:ascii="方正仿宋简体" w:eastAsia="方正仿宋简体"/>
          <w:sz w:val="32"/>
          <w:szCs w:val="32"/>
        </w:rPr>
        <w:t>负责对监狱、看守所和社区矫正机构等执法活动的监督，对刑事判决、裁定执行、强制医疗执行、羁押和办案期限的监督，羁押必要性审查。办理罪犯又犯罪案件。负责对法律规定由邛崃市人民检察院办理的司法工作人员利用职权实施的非法拘禁、刑讯逼供、非法搜查等侵犯公民权利、损害司法公正犯罪，以及按照刑事诉讼法规定由人民检察院直接受理的其他重大犯罪案件的侦查。</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控告申诉办案组（对应市院第十检察部）：</w:t>
      </w:r>
      <w:r>
        <w:rPr>
          <w:rFonts w:hint="eastAsia" w:ascii="方正仿宋简体" w:eastAsia="方正仿宋简体"/>
          <w:sz w:val="32"/>
          <w:szCs w:val="32"/>
        </w:rPr>
        <w:t>负责受理向人民检察院的控告和申诉承办邛崃市人民检察院管辖的国家赔偿案件和国家司法救助案件。</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 xml:space="preserve">法律政策研究组（对应市院法律政策研究室）: </w:t>
      </w:r>
      <w:r>
        <w:rPr>
          <w:rFonts w:hint="eastAsia" w:ascii="方正仿宋简体" w:eastAsia="方正仿宋简体"/>
          <w:sz w:val="32"/>
          <w:szCs w:val="32"/>
        </w:rPr>
        <w:t>负责法律政策研究工作，承担本院检察委员会日常工作。</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案件管理组（对应市院案件管理办公室）:</w:t>
      </w:r>
      <w:r>
        <w:rPr>
          <w:rFonts w:hint="eastAsia" w:ascii="方正仿宋简体" w:eastAsia="方正仿宋简体"/>
          <w:sz w:val="32"/>
          <w:szCs w:val="32"/>
        </w:rPr>
        <w:t>负责检察机关各类案件办案流程、办案质量、办案数据的统一、集中监管，统一组织对检察业务进行考评。</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检察技术组（对应市院检察技术部；案件信息网络安全办公室）:</w:t>
      </w:r>
      <w:r>
        <w:rPr>
          <w:rFonts w:hint="eastAsia" w:ascii="方正仿宋简体" w:eastAsia="方正仿宋简体"/>
          <w:sz w:val="32"/>
          <w:szCs w:val="32"/>
        </w:rPr>
        <w:t>负责本院检察技术、案件信息网络安全、办案过程中全程同步录音录像等工作，组织信息技术相关培训。</w:t>
      </w:r>
    </w:p>
    <w:p>
      <w:pPr>
        <w:spacing w:line="579"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五、政治部（原政治处、司法警察大队、监察室）</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综合组（对应市院政治部下设干部处、宣传处、教育培训处、综合处；离退休人员工作处）：</w:t>
      </w:r>
      <w:r>
        <w:rPr>
          <w:rFonts w:hint="eastAsia" w:ascii="方正仿宋简体" w:eastAsia="方正仿宋简体"/>
          <w:sz w:val="32"/>
          <w:szCs w:val="32"/>
        </w:rPr>
        <w:t>负责本部门本系统思想政治工作、新闻宣传、舆论引导、组织人事及教育培训等工作。</w:t>
      </w:r>
    </w:p>
    <w:p>
      <w:pPr>
        <w:spacing w:line="579" w:lineRule="exact"/>
        <w:ind w:firstLine="640" w:firstLineChars="200"/>
        <w:rPr>
          <w:rFonts w:ascii="方正仿宋简体" w:eastAsia="方正仿宋简体"/>
          <w:sz w:val="32"/>
          <w:szCs w:val="32"/>
        </w:rPr>
      </w:pPr>
      <w:r>
        <w:rPr>
          <w:rFonts w:hint="eastAsia" w:ascii="方正楷体简体" w:eastAsia="方正楷体简体"/>
          <w:sz w:val="32"/>
          <w:szCs w:val="32"/>
        </w:rPr>
        <w:t>司法警察大队（对应市院警务部）：</w:t>
      </w:r>
      <w:r>
        <w:rPr>
          <w:rFonts w:hint="eastAsia" w:ascii="方正仿宋简体" w:eastAsia="方正仿宋简体"/>
          <w:sz w:val="32"/>
          <w:szCs w:val="32"/>
        </w:rPr>
        <w:t>负责贯彻落实司法警察条例并制定相关规划，组织司法警察执行办案场所警戒、人员押解和看管等警务事项。协调配置、管理司法警察的警用装备。组织司法警察业务培训。</w:t>
      </w:r>
    </w:p>
    <w:p>
      <w:pPr>
        <w:spacing w:line="579" w:lineRule="exact"/>
        <w:ind w:firstLine="640" w:firstLineChars="200"/>
        <w:rPr>
          <w:rFonts w:hint="eastAsia" w:eastAsia="仿宋_GB2312"/>
          <w:sz w:val="32"/>
          <w:szCs w:val="32"/>
        </w:rPr>
      </w:pPr>
      <w:r>
        <w:rPr>
          <w:rFonts w:hint="eastAsia" w:ascii="方正楷体简体" w:eastAsia="方正楷体简体"/>
          <w:sz w:val="32"/>
          <w:szCs w:val="32"/>
        </w:rPr>
        <w:t>检务督察组（对应市院检务督察部）：</w:t>
      </w:r>
      <w:r>
        <w:rPr>
          <w:rFonts w:hint="eastAsia" w:eastAsia="仿宋_GB2312"/>
          <w:sz w:val="32"/>
          <w:szCs w:val="32"/>
        </w:rPr>
        <w:t>承担对邛崃市人民检察院执行法律、法规和最高人民检察院、四川省人民检察院、成都市人民检察院和本院规定、决定等情况进行督察。</w:t>
      </w:r>
    </w:p>
    <w:p>
      <w:pPr>
        <w:spacing w:line="579" w:lineRule="exact"/>
        <w:ind w:firstLine="640" w:firstLineChars="200"/>
        <w:rPr>
          <w:rFonts w:hint="eastAsia" w:eastAsia="仿宋_GB2312"/>
          <w:sz w:val="32"/>
          <w:szCs w:val="32"/>
        </w:rPr>
      </w:pPr>
    </w:p>
    <w:p>
      <w:pPr>
        <w:spacing w:line="579" w:lineRule="exact"/>
        <w:ind w:firstLine="640" w:firstLineChars="200"/>
        <w:rPr>
          <w:rFonts w:hint="eastAsia" w:ascii="仿宋_GB2312" w:eastAsia="仿宋_GB2312"/>
          <w:b/>
          <w:color w:val="000000"/>
          <w:sz w:val="32"/>
          <w:szCs w:val="32"/>
          <w:lang w:eastAsia="zh-CN"/>
        </w:rPr>
      </w:pPr>
      <w:r>
        <w:rPr>
          <w:rFonts w:hint="eastAsia" w:ascii="黑体" w:hAnsi="黑体" w:eastAsia="黑体" w:cs="黑体"/>
          <w:color w:val="000000"/>
          <w:sz w:val="32"/>
          <w:szCs w:val="32"/>
        </w:rPr>
        <w:t>机关党委</w:t>
      </w:r>
      <w:r>
        <w:rPr>
          <w:rFonts w:hint="eastAsia" w:ascii="方正楷体简体" w:eastAsia="方正楷体简体"/>
          <w:sz w:val="32"/>
          <w:szCs w:val="32"/>
        </w:rPr>
        <w:t>（对应市院机关党委）：</w:t>
      </w:r>
      <w:r>
        <w:rPr>
          <w:rFonts w:hint="eastAsia" w:ascii="仿宋_GB2312" w:eastAsia="仿宋_GB2312"/>
          <w:color w:val="000000"/>
          <w:sz w:val="32"/>
          <w:szCs w:val="32"/>
        </w:rPr>
        <w:t>负责机关的党群工作</w:t>
      </w:r>
      <w:r>
        <w:rPr>
          <w:rFonts w:hint="eastAsia" w:ascii="仿宋_GB2312" w:eastAsia="仿宋_GB2312"/>
          <w:color w:val="000000"/>
          <w:sz w:val="32"/>
          <w:szCs w:val="32"/>
          <w:lang w:eastAsia="zh-CN"/>
        </w:rPr>
        <w:t>。</w:t>
      </w:r>
    </w:p>
    <w:p>
      <w:pPr>
        <w:spacing w:line="579"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六、其他说明</w:t>
      </w: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r>
        <w:rPr>
          <w:rFonts w:hint="eastAsia" w:ascii="Times New Roman" w:hAnsi="Times New Roman" w:eastAsia="仿宋_GB2312"/>
          <w:color w:val="000000"/>
          <w:sz w:val="32"/>
          <w:szCs w:val="32"/>
        </w:rPr>
        <w:t>根据《四川省检察机关人员分类管理改革方案》、《邛崃市人民检察院关于落实入额院领导直接办理案件的规定(试行)》规定，</w:t>
      </w:r>
      <w:r>
        <w:rPr>
          <w:rFonts w:hint="eastAsia" w:ascii="仿宋_GB2312" w:hAnsi="Times New Roman" w:eastAsia="仿宋_GB2312"/>
          <w:sz w:val="32"/>
          <w:szCs w:val="32"/>
          <w:shd w:val="clear" w:color="auto" w:fill="FFFFFF"/>
        </w:rPr>
        <w:t>入员额的院领导均应办理一定数量的案件，并带头办理重大疑难复杂案件。检察长办案量应当达到本院检察官平均办案量的5%—10%；副检察长、检察委员会专职委员应当达到本院检察官平均办案量的30%—40%。</w:t>
      </w: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bookmarkStart w:id="0" w:name="_GoBack"/>
      <w:bookmarkEnd w:id="0"/>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Style w:val="6"/>
        <w:spacing w:before="0" w:beforeAutospacing="0" w:after="0" w:afterAutospacing="0" w:line="580" w:lineRule="exact"/>
        <w:ind w:firstLine="640" w:firstLineChars="200"/>
        <w:rPr>
          <w:rFonts w:hint="eastAsia" w:ascii="仿宋_GB2312" w:hAnsi="Times New Roman" w:eastAsia="仿宋_GB2312"/>
          <w:sz w:val="32"/>
          <w:szCs w:val="32"/>
          <w:shd w:val="clear" w:color="auto" w:fill="FFFFFF"/>
        </w:rPr>
      </w:pPr>
    </w:p>
    <w:p>
      <w:pPr>
        <w:pBdr>
          <w:top w:val="single" w:color="auto" w:sz="6" w:space="0"/>
          <w:bottom w:val="single" w:color="auto" w:sz="6" w:space="1"/>
        </w:pBdr>
        <w:snapToGrid w:val="0"/>
        <w:spacing w:line="640" w:lineRule="exact"/>
        <w:ind w:firstLine="280" w:firstLineChars="100"/>
        <w:rPr>
          <w:rFonts w:ascii="仿宋" w:hAnsi="仿宋" w:eastAsia="仿宋"/>
          <w:sz w:val="32"/>
          <w:szCs w:val="32"/>
          <w:lang w:val="zh-CN"/>
        </w:rPr>
      </w:pPr>
      <w:r>
        <w:rPr>
          <w:rFonts w:hint="eastAsia" w:ascii="仿宋" w:hAnsi="仿宋" w:eastAsia="仿宋"/>
          <w:sz w:val="28"/>
          <w:szCs w:val="28"/>
        </w:rPr>
        <w:t>邛崃市人民检察院办公室                2019年11月29日印发</w:t>
      </w:r>
    </w:p>
    <w:sectPr>
      <w:footerReference r:id="rId3" w:type="default"/>
      <w:footerReference r:id="rId4" w:type="even"/>
      <w:pgSz w:w="11906" w:h="16838"/>
      <w:pgMar w:top="2098" w:right="1588"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楷体简体">
    <w:altName w:val="宋体"/>
    <w:panose1 w:val="02010601030101010101"/>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方正仿宋简体">
    <w:altName w:val="微软雅黑"/>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微软雅黑">
    <w:panose1 w:val="020B0503020204020204"/>
    <w:charset w:val="86"/>
    <w:family w:val="script"/>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cript"/>
    <w:pitch w:val="default"/>
    <w:sig w:usb0="80000287" w:usb1="280F3C52" w:usb2="00000016" w:usb3="00000000" w:csb0="0004001F"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28"/>
        <w:szCs w:val="28"/>
      </w:rPr>
    </w:pPr>
    <w:r>
      <w:rPr>
        <w:sz w:val="28"/>
        <w:szCs w:val="28"/>
      </w:rPr>
      <w:t xml:space="preserve"> —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sz w:val="28"/>
        <w:szCs w:val="28"/>
      </w:rPr>
      <w:t xml:space="preserve"> —</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p>
    <w:pPr>
      <w:pStyle w:val="4"/>
      <w:rPr>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2619C"/>
    <w:rsid w:val="000101FB"/>
    <w:rsid w:val="000152E7"/>
    <w:rsid w:val="0002109B"/>
    <w:rsid w:val="000211AC"/>
    <w:rsid w:val="000220DD"/>
    <w:rsid w:val="0002780F"/>
    <w:rsid w:val="00042339"/>
    <w:rsid w:val="00045FE1"/>
    <w:rsid w:val="00051906"/>
    <w:rsid w:val="000645DC"/>
    <w:rsid w:val="00066C92"/>
    <w:rsid w:val="00072FBC"/>
    <w:rsid w:val="00073135"/>
    <w:rsid w:val="000755AD"/>
    <w:rsid w:val="00080809"/>
    <w:rsid w:val="0009050B"/>
    <w:rsid w:val="000B0AD4"/>
    <w:rsid w:val="000B1A8E"/>
    <w:rsid w:val="000B393B"/>
    <w:rsid w:val="000B4F6C"/>
    <w:rsid w:val="000B5C7F"/>
    <w:rsid w:val="000C2BC8"/>
    <w:rsid w:val="000C6058"/>
    <w:rsid w:val="000D02C8"/>
    <w:rsid w:val="000D6B56"/>
    <w:rsid w:val="000E2782"/>
    <w:rsid w:val="00102876"/>
    <w:rsid w:val="0011789D"/>
    <w:rsid w:val="0012247E"/>
    <w:rsid w:val="0012345F"/>
    <w:rsid w:val="00127878"/>
    <w:rsid w:val="001301D1"/>
    <w:rsid w:val="00135365"/>
    <w:rsid w:val="00135399"/>
    <w:rsid w:val="0014104F"/>
    <w:rsid w:val="00147C69"/>
    <w:rsid w:val="0016420A"/>
    <w:rsid w:val="001766EE"/>
    <w:rsid w:val="001924AF"/>
    <w:rsid w:val="00193DAF"/>
    <w:rsid w:val="001A2C46"/>
    <w:rsid w:val="001B0D8B"/>
    <w:rsid w:val="001B145A"/>
    <w:rsid w:val="001B55D8"/>
    <w:rsid w:val="001B6920"/>
    <w:rsid w:val="001B7895"/>
    <w:rsid w:val="001C0A08"/>
    <w:rsid w:val="001C6CB7"/>
    <w:rsid w:val="001D2A04"/>
    <w:rsid w:val="001E0413"/>
    <w:rsid w:val="001E195C"/>
    <w:rsid w:val="001E35D0"/>
    <w:rsid w:val="001E49D0"/>
    <w:rsid w:val="002119C3"/>
    <w:rsid w:val="00231CD8"/>
    <w:rsid w:val="0024604B"/>
    <w:rsid w:val="0025531E"/>
    <w:rsid w:val="00264B20"/>
    <w:rsid w:val="00266C24"/>
    <w:rsid w:val="00280A7D"/>
    <w:rsid w:val="00280F88"/>
    <w:rsid w:val="002828EA"/>
    <w:rsid w:val="00282A75"/>
    <w:rsid w:val="002840C2"/>
    <w:rsid w:val="00291B35"/>
    <w:rsid w:val="002A3F93"/>
    <w:rsid w:val="002B1E96"/>
    <w:rsid w:val="002B212E"/>
    <w:rsid w:val="002B3171"/>
    <w:rsid w:val="002B31C7"/>
    <w:rsid w:val="002C3519"/>
    <w:rsid w:val="002D2052"/>
    <w:rsid w:val="002D338F"/>
    <w:rsid w:val="002D4266"/>
    <w:rsid w:val="002D7A3D"/>
    <w:rsid w:val="002E1618"/>
    <w:rsid w:val="002F3025"/>
    <w:rsid w:val="003014D4"/>
    <w:rsid w:val="00305C07"/>
    <w:rsid w:val="00311168"/>
    <w:rsid w:val="00331C22"/>
    <w:rsid w:val="003347C9"/>
    <w:rsid w:val="00335333"/>
    <w:rsid w:val="00354760"/>
    <w:rsid w:val="00360006"/>
    <w:rsid w:val="00366137"/>
    <w:rsid w:val="00366EFE"/>
    <w:rsid w:val="00393AD3"/>
    <w:rsid w:val="0039464D"/>
    <w:rsid w:val="003A16E8"/>
    <w:rsid w:val="003A6F60"/>
    <w:rsid w:val="003B4720"/>
    <w:rsid w:val="003B5E17"/>
    <w:rsid w:val="003B6111"/>
    <w:rsid w:val="003C3578"/>
    <w:rsid w:val="003C7C20"/>
    <w:rsid w:val="003D6846"/>
    <w:rsid w:val="003E6F4F"/>
    <w:rsid w:val="003F267D"/>
    <w:rsid w:val="004176E4"/>
    <w:rsid w:val="00421755"/>
    <w:rsid w:val="004247D3"/>
    <w:rsid w:val="00441179"/>
    <w:rsid w:val="004545E1"/>
    <w:rsid w:val="0046513A"/>
    <w:rsid w:val="00465AF8"/>
    <w:rsid w:val="00467B47"/>
    <w:rsid w:val="00470C5E"/>
    <w:rsid w:val="00483EC2"/>
    <w:rsid w:val="004949E2"/>
    <w:rsid w:val="00496F0E"/>
    <w:rsid w:val="004A289B"/>
    <w:rsid w:val="004A4012"/>
    <w:rsid w:val="004C5057"/>
    <w:rsid w:val="004D2B3E"/>
    <w:rsid w:val="004D4998"/>
    <w:rsid w:val="004D7FE1"/>
    <w:rsid w:val="004E7C12"/>
    <w:rsid w:val="004F6224"/>
    <w:rsid w:val="00504072"/>
    <w:rsid w:val="00504FB8"/>
    <w:rsid w:val="005065D1"/>
    <w:rsid w:val="00506923"/>
    <w:rsid w:val="00506ED4"/>
    <w:rsid w:val="00507570"/>
    <w:rsid w:val="00510459"/>
    <w:rsid w:val="00521C4E"/>
    <w:rsid w:val="005223D9"/>
    <w:rsid w:val="00525681"/>
    <w:rsid w:val="005378EB"/>
    <w:rsid w:val="005418A8"/>
    <w:rsid w:val="00542CFB"/>
    <w:rsid w:val="00543C06"/>
    <w:rsid w:val="005617BB"/>
    <w:rsid w:val="00561D47"/>
    <w:rsid w:val="00562EC1"/>
    <w:rsid w:val="00565960"/>
    <w:rsid w:val="00567CF5"/>
    <w:rsid w:val="00582C3F"/>
    <w:rsid w:val="00583DBA"/>
    <w:rsid w:val="00596962"/>
    <w:rsid w:val="00597676"/>
    <w:rsid w:val="005A2985"/>
    <w:rsid w:val="005A2C93"/>
    <w:rsid w:val="005A6C2A"/>
    <w:rsid w:val="005B24A0"/>
    <w:rsid w:val="005B369A"/>
    <w:rsid w:val="005C3733"/>
    <w:rsid w:val="005C6E08"/>
    <w:rsid w:val="005D3C49"/>
    <w:rsid w:val="005D6879"/>
    <w:rsid w:val="005D702B"/>
    <w:rsid w:val="005E6CF7"/>
    <w:rsid w:val="005F37F4"/>
    <w:rsid w:val="006133CC"/>
    <w:rsid w:val="006214D0"/>
    <w:rsid w:val="00625369"/>
    <w:rsid w:val="006312EC"/>
    <w:rsid w:val="00641937"/>
    <w:rsid w:val="006460A7"/>
    <w:rsid w:val="00693877"/>
    <w:rsid w:val="006951A2"/>
    <w:rsid w:val="006A7050"/>
    <w:rsid w:val="006B063E"/>
    <w:rsid w:val="006B3410"/>
    <w:rsid w:val="006C5B23"/>
    <w:rsid w:val="006C5CE8"/>
    <w:rsid w:val="006D0DDB"/>
    <w:rsid w:val="006D29D9"/>
    <w:rsid w:val="006D4101"/>
    <w:rsid w:val="006E62AB"/>
    <w:rsid w:val="007023B3"/>
    <w:rsid w:val="00702EE1"/>
    <w:rsid w:val="00703359"/>
    <w:rsid w:val="00715DFD"/>
    <w:rsid w:val="0072071A"/>
    <w:rsid w:val="00720EAC"/>
    <w:rsid w:val="00723C5C"/>
    <w:rsid w:val="0072621D"/>
    <w:rsid w:val="00733B7B"/>
    <w:rsid w:val="00744C9E"/>
    <w:rsid w:val="00757B4F"/>
    <w:rsid w:val="00764CAD"/>
    <w:rsid w:val="00777451"/>
    <w:rsid w:val="0078340F"/>
    <w:rsid w:val="00791958"/>
    <w:rsid w:val="007A3509"/>
    <w:rsid w:val="007B6737"/>
    <w:rsid w:val="007C0150"/>
    <w:rsid w:val="007C1153"/>
    <w:rsid w:val="007C62D1"/>
    <w:rsid w:val="007D399C"/>
    <w:rsid w:val="007E7AF9"/>
    <w:rsid w:val="007F1384"/>
    <w:rsid w:val="007F637F"/>
    <w:rsid w:val="0080204C"/>
    <w:rsid w:val="00812466"/>
    <w:rsid w:val="00814516"/>
    <w:rsid w:val="00814F00"/>
    <w:rsid w:val="00821B15"/>
    <w:rsid w:val="008264E6"/>
    <w:rsid w:val="0083453A"/>
    <w:rsid w:val="0084639D"/>
    <w:rsid w:val="00857A54"/>
    <w:rsid w:val="00871299"/>
    <w:rsid w:val="00873056"/>
    <w:rsid w:val="008767EE"/>
    <w:rsid w:val="0087686E"/>
    <w:rsid w:val="00877469"/>
    <w:rsid w:val="00884ACD"/>
    <w:rsid w:val="008948A9"/>
    <w:rsid w:val="008B56EE"/>
    <w:rsid w:val="008E5B70"/>
    <w:rsid w:val="008F4169"/>
    <w:rsid w:val="008F557F"/>
    <w:rsid w:val="008F66AF"/>
    <w:rsid w:val="00915377"/>
    <w:rsid w:val="0092004E"/>
    <w:rsid w:val="009333D5"/>
    <w:rsid w:val="0094073F"/>
    <w:rsid w:val="009424FD"/>
    <w:rsid w:val="00943B7A"/>
    <w:rsid w:val="00953101"/>
    <w:rsid w:val="0095640E"/>
    <w:rsid w:val="00957C30"/>
    <w:rsid w:val="009671D9"/>
    <w:rsid w:val="009740BC"/>
    <w:rsid w:val="00987D39"/>
    <w:rsid w:val="009918D2"/>
    <w:rsid w:val="009B300F"/>
    <w:rsid w:val="009B4878"/>
    <w:rsid w:val="009B508A"/>
    <w:rsid w:val="009B73AC"/>
    <w:rsid w:val="009E3855"/>
    <w:rsid w:val="009F14CE"/>
    <w:rsid w:val="009F3D88"/>
    <w:rsid w:val="00A0690F"/>
    <w:rsid w:val="00A1682C"/>
    <w:rsid w:val="00A25045"/>
    <w:rsid w:val="00A32350"/>
    <w:rsid w:val="00A83B2D"/>
    <w:rsid w:val="00A96A52"/>
    <w:rsid w:val="00AB18E2"/>
    <w:rsid w:val="00AB42C4"/>
    <w:rsid w:val="00AD2B1C"/>
    <w:rsid w:val="00AD678D"/>
    <w:rsid w:val="00AE350B"/>
    <w:rsid w:val="00AE669E"/>
    <w:rsid w:val="00AF4260"/>
    <w:rsid w:val="00AF7E4B"/>
    <w:rsid w:val="00B05E7A"/>
    <w:rsid w:val="00B150EE"/>
    <w:rsid w:val="00B21107"/>
    <w:rsid w:val="00B2675C"/>
    <w:rsid w:val="00B30215"/>
    <w:rsid w:val="00B324AC"/>
    <w:rsid w:val="00B33FB6"/>
    <w:rsid w:val="00B34258"/>
    <w:rsid w:val="00B352D4"/>
    <w:rsid w:val="00B503BA"/>
    <w:rsid w:val="00B543CF"/>
    <w:rsid w:val="00B656ED"/>
    <w:rsid w:val="00B712E2"/>
    <w:rsid w:val="00B733B4"/>
    <w:rsid w:val="00B9422D"/>
    <w:rsid w:val="00B94DA8"/>
    <w:rsid w:val="00BA2521"/>
    <w:rsid w:val="00BB355F"/>
    <w:rsid w:val="00BD1047"/>
    <w:rsid w:val="00BE64B8"/>
    <w:rsid w:val="00BF02CB"/>
    <w:rsid w:val="00BF1C97"/>
    <w:rsid w:val="00BF4AF5"/>
    <w:rsid w:val="00BF75D3"/>
    <w:rsid w:val="00C00FA2"/>
    <w:rsid w:val="00C129B0"/>
    <w:rsid w:val="00C12B9A"/>
    <w:rsid w:val="00C36D35"/>
    <w:rsid w:val="00C401FF"/>
    <w:rsid w:val="00C423FA"/>
    <w:rsid w:val="00C53532"/>
    <w:rsid w:val="00C546AC"/>
    <w:rsid w:val="00C60978"/>
    <w:rsid w:val="00C60F8D"/>
    <w:rsid w:val="00C63BD3"/>
    <w:rsid w:val="00C702FD"/>
    <w:rsid w:val="00C73504"/>
    <w:rsid w:val="00C74282"/>
    <w:rsid w:val="00C83D98"/>
    <w:rsid w:val="00C97D70"/>
    <w:rsid w:val="00CA1614"/>
    <w:rsid w:val="00CA513F"/>
    <w:rsid w:val="00CB1C61"/>
    <w:rsid w:val="00CB3DFF"/>
    <w:rsid w:val="00CB44C3"/>
    <w:rsid w:val="00CC0E03"/>
    <w:rsid w:val="00CC1F27"/>
    <w:rsid w:val="00CC687B"/>
    <w:rsid w:val="00CC6D26"/>
    <w:rsid w:val="00CD3F0C"/>
    <w:rsid w:val="00CE508D"/>
    <w:rsid w:val="00CE54E8"/>
    <w:rsid w:val="00D0202A"/>
    <w:rsid w:val="00D153E5"/>
    <w:rsid w:val="00D15E68"/>
    <w:rsid w:val="00D20BC7"/>
    <w:rsid w:val="00D30D06"/>
    <w:rsid w:val="00D3487B"/>
    <w:rsid w:val="00D35953"/>
    <w:rsid w:val="00D36608"/>
    <w:rsid w:val="00D367A7"/>
    <w:rsid w:val="00D54036"/>
    <w:rsid w:val="00D7175E"/>
    <w:rsid w:val="00D77A8A"/>
    <w:rsid w:val="00DA3EFA"/>
    <w:rsid w:val="00DC2D0D"/>
    <w:rsid w:val="00DD0657"/>
    <w:rsid w:val="00DE3379"/>
    <w:rsid w:val="00DF0D89"/>
    <w:rsid w:val="00DF7165"/>
    <w:rsid w:val="00E06FA2"/>
    <w:rsid w:val="00E1183E"/>
    <w:rsid w:val="00E1323C"/>
    <w:rsid w:val="00E2719D"/>
    <w:rsid w:val="00E4389E"/>
    <w:rsid w:val="00E727A6"/>
    <w:rsid w:val="00E82409"/>
    <w:rsid w:val="00EA4051"/>
    <w:rsid w:val="00EA6C97"/>
    <w:rsid w:val="00EB0D5B"/>
    <w:rsid w:val="00EB4413"/>
    <w:rsid w:val="00EC7828"/>
    <w:rsid w:val="00EE4408"/>
    <w:rsid w:val="00EF54DF"/>
    <w:rsid w:val="00EF7D60"/>
    <w:rsid w:val="00F04C9E"/>
    <w:rsid w:val="00F206D3"/>
    <w:rsid w:val="00F3088C"/>
    <w:rsid w:val="00F30CDA"/>
    <w:rsid w:val="00F327FC"/>
    <w:rsid w:val="00F35912"/>
    <w:rsid w:val="00F359DF"/>
    <w:rsid w:val="00F406C0"/>
    <w:rsid w:val="00F428BB"/>
    <w:rsid w:val="00F71D25"/>
    <w:rsid w:val="00F74781"/>
    <w:rsid w:val="00F83F03"/>
    <w:rsid w:val="00F94FDF"/>
    <w:rsid w:val="00F958F7"/>
    <w:rsid w:val="00FA3D63"/>
    <w:rsid w:val="00FA4669"/>
    <w:rsid w:val="00FA5239"/>
    <w:rsid w:val="00FB5DBE"/>
    <w:rsid w:val="00FB6AF9"/>
    <w:rsid w:val="00FC10CC"/>
    <w:rsid w:val="00FE6AA1"/>
    <w:rsid w:val="07956768"/>
    <w:rsid w:val="1B327CB8"/>
    <w:rsid w:val="24B043BD"/>
    <w:rsid w:val="25F26808"/>
    <w:rsid w:val="3E8E11A6"/>
    <w:rsid w:val="430715DA"/>
    <w:rsid w:val="499F627A"/>
    <w:rsid w:val="4C98148B"/>
    <w:rsid w:val="54F94DA4"/>
    <w:rsid w:val="646269A1"/>
    <w:rsid w:val="6A72619C"/>
    <w:rsid w:val="705F2DC9"/>
    <w:rsid w:val="70840133"/>
    <w:rsid w:val="75F04473"/>
    <w:rsid w:val="77D8136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5"/>
    <w:qFormat/>
    <w:uiPriority w:val="0"/>
    <w:pPr>
      <w:ind w:left="100" w:leftChars="2500"/>
    </w:pPr>
  </w:style>
  <w:style w:type="paragraph" w:styleId="3">
    <w:name w:val="Balloon Text"/>
    <w:basedOn w:val="1"/>
    <w:link w:val="14"/>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8">
    <w:name w:val="Hyperlink"/>
    <w:qFormat/>
    <w:uiPriority w:val="0"/>
    <w:rPr>
      <w:color w:val="004080"/>
      <w:u w:val="single"/>
    </w:rPr>
  </w:style>
  <w:style w:type="paragraph" w:customStyle="1" w:styleId="10">
    <w:name w:val="Char"/>
    <w:basedOn w:val="1"/>
    <w:qFormat/>
    <w:uiPriority w:val="0"/>
    <w:pPr>
      <w:widowControl/>
      <w:spacing w:after="160" w:line="240" w:lineRule="exact"/>
      <w:jc w:val="left"/>
    </w:pPr>
    <w:rPr>
      <w:sz w:val="32"/>
      <w:szCs w:val="24"/>
    </w:rPr>
  </w:style>
  <w:style w:type="paragraph" w:customStyle="1" w:styleId="11">
    <w:name w:val="Char Char Char Char"/>
    <w:basedOn w:val="1"/>
    <w:next w:val="1"/>
    <w:qFormat/>
    <w:uiPriority w:val="0"/>
    <w:pPr>
      <w:spacing w:line="240" w:lineRule="atLeast"/>
      <w:ind w:left="420" w:firstLine="420"/>
      <w:jc w:val="left"/>
    </w:pPr>
    <w:rPr>
      <w:kern w:val="0"/>
      <w:szCs w:val="21"/>
    </w:rPr>
  </w:style>
  <w:style w:type="paragraph" w:customStyle="1" w:styleId="12">
    <w:name w:val="列出段落1"/>
    <w:basedOn w:val="1"/>
    <w:qFormat/>
    <w:uiPriority w:val="0"/>
    <w:pPr>
      <w:ind w:firstLine="420" w:firstLineChars="200"/>
    </w:pPr>
    <w:rPr>
      <w:rFonts w:ascii="Calibri" w:hAnsi="Calibri"/>
      <w:szCs w:val="22"/>
    </w:rPr>
  </w:style>
  <w:style w:type="character" w:customStyle="1" w:styleId="13">
    <w:name w:val="页脚 Char"/>
    <w:link w:val="4"/>
    <w:qFormat/>
    <w:uiPriority w:val="99"/>
    <w:rPr>
      <w:kern w:val="2"/>
      <w:sz w:val="18"/>
    </w:rPr>
  </w:style>
  <w:style w:type="character" w:customStyle="1" w:styleId="14">
    <w:name w:val="批注框文本 Char"/>
    <w:link w:val="3"/>
    <w:qFormat/>
    <w:uiPriority w:val="0"/>
    <w:rPr>
      <w:kern w:val="2"/>
      <w:sz w:val="18"/>
      <w:szCs w:val="18"/>
    </w:rPr>
  </w:style>
  <w:style w:type="character" w:customStyle="1" w:styleId="15">
    <w:name w:val="日期 Char"/>
    <w:link w:val="2"/>
    <w:qFormat/>
    <w:uiPriority w:val="0"/>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0826;&#32452;&#12289;&#25919;&#27835;&#22788;&#25991;&#20214;&#65288;&#32418;&#22836;&#65289;\&#20826;&#32452;&#32418;&#22836;\&#37019;&#26816;&#32452;42&#21495;&#20851;&#20110;&#37019;&#23811;&#24066;&#20154;&#27665;&#26816;&#23519;&#38498;&#20869;&#35774;&#26426;&#26500;&#25913;&#38761;&#24773;&#20917;&#30340;&#25253;&#21578;.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邛检组42号关于邛崃市人民检察院内设机构改革情况的报告.dot</Template>
  <Pages>7</Pages>
  <Words>417</Words>
  <Characters>2377</Characters>
  <Lines>19</Lines>
  <Paragraphs>5</Paragraphs>
  <TotalTime>0</TotalTime>
  <ScaleCrop>false</ScaleCrop>
  <LinksUpToDate>false</LinksUpToDate>
  <CharactersWithSpaces>2789</CharactersWithSpaces>
  <Application>WPS Office_10.1.0.5938_F1E327BC-269C-435d-A152-05C5408002CA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2019-11-28T08:20:00Z</dcterms:created>
  <dc:creator>湘蜀</dc:creator>
  <cp:lastModifiedBy>政治处:田湘蜀</cp:lastModifiedBy>
  <cp:lastPrinted>2019-11-29T08:48:00Z</cp:lastPrinted>
  <dcterms:modified xsi:type="dcterms:W3CDTF">2019-12-02T02:50:25Z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2052-10.1.0.5938</vt:lpwstr>
  </property>
</Properties>
</file>